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auto"/>
        <w:wordWrap/>
        <w:adjustRightInd/>
        <w:snapToGrid/>
        <w:spacing w:line="700" w:lineRule="exact"/>
        <w:jc w:val="center"/>
        <w:textAlignment w:val="auto"/>
        <w:rPr>
          <w:rFonts w:hint="eastAsia" w:ascii="方正小标宋简体" w:eastAsia="方正小标宋简体" w:cs="宋体"/>
          <w:color w:val="auto"/>
          <w:spacing w:val="-2"/>
          <w:kern w:val="0"/>
          <w:sz w:val="44"/>
          <w:szCs w:val="44"/>
          <w:shd w:val="clear" w:color="auto" w:fill="auto"/>
          <w:lang w:val="en-US" w:eastAsia="zh-CN"/>
        </w:rPr>
      </w:pPr>
      <w:r>
        <w:rPr>
          <w:rFonts w:hint="eastAsia" w:ascii="方正小标宋简体" w:eastAsia="方正小标宋简体" w:cs="宋体"/>
          <w:color w:val="auto"/>
          <w:spacing w:val="-2"/>
          <w:kern w:val="0"/>
          <w:sz w:val="44"/>
          <w:szCs w:val="44"/>
          <w:shd w:val="clear" w:color="auto" w:fill="auto"/>
          <w:lang w:val="en-US" w:eastAsia="zh-CN"/>
        </w:rPr>
        <w:t>中共红旗渠经济技术开发区工作委员会</w:t>
      </w:r>
    </w:p>
    <w:p>
      <w:pPr>
        <w:widowControl/>
        <w:shd w:val="clear" w:color="auto" w:fill="auto"/>
        <w:wordWrap/>
        <w:adjustRightInd/>
        <w:snapToGrid/>
        <w:spacing w:line="700" w:lineRule="exact"/>
        <w:jc w:val="center"/>
        <w:textAlignment w:val="auto"/>
        <w:rPr>
          <w:rFonts w:hint="eastAsia" w:ascii="仿宋_GB2312" w:eastAsia="方正小标宋简体" w:cs="宋体"/>
          <w:color w:val="auto"/>
          <w:spacing w:val="0"/>
          <w:kern w:val="0"/>
          <w:sz w:val="44"/>
          <w:szCs w:val="44"/>
          <w:shd w:val="clear" w:color="auto" w:fill="auto"/>
          <w:lang w:eastAsia="zh-CN"/>
        </w:rPr>
      </w:pPr>
      <w:r>
        <w:rPr>
          <w:rFonts w:hint="eastAsia" w:ascii="方正小标宋简体" w:eastAsia="方正小标宋简体" w:cs="宋体"/>
          <w:color w:val="auto"/>
          <w:spacing w:val="-2"/>
          <w:kern w:val="0"/>
          <w:sz w:val="44"/>
          <w:szCs w:val="44"/>
          <w:shd w:val="clear" w:color="auto" w:fill="auto"/>
        </w:rPr>
        <w:t>关于</w:t>
      </w:r>
      <w:r>
        <w:rPr>
          <w:rFonts w:hint="eastAsia" w:ascii="方正小标宋简体" w:eastAsia="方正小标宋简体" w:cs="宋体"/>
          <w:color w:val="auto"/>
          <w:spacing w:val="-2"/>
          <w:kern w:val="0"/>
          <w:sz w:val="44"/>
          <w:szCs w:val="44"/>
          <w:shd w:val="clear" w:color="auto" w:fill="auto"/>
          <w:lang w:eastAsia="zh-CN"/>
        </w:rPr>
        <w:t>巡察</w:t>
      </w:r>
      <w:r>
        <w:rPr>
          <w:rFonts w:hint="eastAsia" w:ascii="方正小标宋简体" w:eastAsia="方正小标宋简体" w:cs="宋体"/>
          <w:color w:val="auto"/>
          <w:spacing w:val="-2"/>
          <w:kern w:val="0"/>
          <w:sz w:val="44"/>
          <w:szCs w:val="44"/>
          <w:shd w:val="clear" w:color="auto" w:fill="auto"/>
        </w:rPr>
        <w:t>整改情况的</w:t>
      </w:r>
      <w:r>
        <w:rPr>
          <w:rFonts w:hint="eastAsia" w:ascii="方正小标宋简体" w:eastAsia="方正小标宋简体" w:cs="宋体"/>
          <w:color w:val="auto"/>
          <w:spacing w:val="-2"/>
          <w:kern w:val="0"/>
          <w:sz w:val="44"/>
          <w:szCs w:val="44"/>
          <w:shd w:val="clear" w:color="auto" w:fill="auto"/>
          <w:lang w:val="en-US" w:eastAsia="zh-CN"/>
        </w:rPr>
        <w:t>通报</w:t>
      </w:r>
    </w:p>
    <w:p>
      <w:pPr>
        <w:pStyle w:val="3"/>
        <w:widowControl w:val="0"/>
        <w:wordWrap/>
        <w:adjustRightInd/>
        <w:snapToGrid/>
        <w:spacing w:after="0" w:line="580" w:lineRule="exact"/>
        <w:ind w:left="0" w:leftChars="0" w:right="0" w:firstLine="640" w:firstLineChars="200"/>
        <w:jc w:val="both"/>
        <w:textAlignment w:val="auto"/>
        <w:outlineLvl w:val="9"/>
        <w:rPr>
          <w:rFonts w:hint="eastAsia" w:ascii="仿宋_GB2312" w:hAnsi="仿宋_GB2312" w:eastAsia="仿宋_GB2312" w:cs="仿宋_GB2312"/>
          <w:spacing w:val="0"/>
          <w:sz w:val="32"/>
          <w:szCs w:val="32"/>
        </w:rPr>
      </w:pPr>
    </w:p>
    <w:p>
      <w:pPr>
        <w:widowControl w:val="0"/>
        <w:wordWrap/>
        <w:adjustRightInd/>
        <w:snapToGrid/>
        <w:spacing w:line="580" w:lineRule="exact"/>
        <w:ind w:left="0" w:leftChars="0" w:right="0" w:firstLine="640" w:firstLineChars="200"/>
        <w:jc w:val="both"/>
        <w:textAlignment w:val="auto"/>
        <w:outlineLvl w:val="9"/>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pP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根据市委统一部署，2024年4月1日至5月31日，安阳市委第一巡察组</w:t>
      </w:r>
      <w:r>
        <w:rPr>
          <w:rFonts w:hint="eastAsia" w:ascii="仿宋_GB2312" w:hAnsi="仿宋_GB2312" w:eastAsia="仿宋_GB2312" w:cs="仿宋_GB2312"/>
          <w:b w:val="0"/>
          <w:bCs w:val="0"/>
          <w:color w:val="auto"/>
          <w:spacing w:val="0"/>
          <w:kern w:val="0"/>
          <w:sz w:val="32"/>
          <w:szCs w:val="32"/>
          <w:highlight w:val="none"/>
          <w:shd w:val="clear" w:color="auto" w:fill="auto"/>
          <w:lang w:val="en-US" w:eastAsia="zh-CN" w:bidi="ar-SA"/>
        </w:rPr>
        <w:t>对红旗渠经济技术开发区党工委进行了</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巡察。2024年6月27日，市委巡察组向</w:t>
      </w:r>
      <w:r>
        <w:rPr>
          <w:rFonts w:hint="eastAsia" w:ascii="仿宋_GB2312" w:hAnsi="仿宋_GB2312" w:eastAsia="仿宋_GB2312" w:cs="仿宋_GB2312"/>
          <w:b w:val="0"/>
          <w:bCs w:val="0"/>
          <w:color w:val="auto"/>
          <w:spacing w:val="0"/>
          <w:kern w:val="0"/>
          <w:sz w:val="32"/>
          <w:szCs w:val="32"/>
          <w:highlight w:val="none"/>
          <w:shd w:val="clear" w:color="auto" w:fill="auto"/>
          <w:lang w:val="en-US" w:eastAsia="zh-CN" w:bidi="ar-SA"/>
        </w:rPr>
        <w:t>红旗渠经济技术开发区党工委</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反馈了巡察意见。按照《中国共产党巡视工作条例》有关规定，现将巡察整改情况予以公布。</w:t>
      </w:r>
    </w:p>
    <w:p>
      <w:pPr>
        <w:widowControl w:val="0"/>
        <w:wordWrap/>
        <w:adjustRightInd/>
        <w:snapToGrid/>
        <w:spacing w:line="580" w:lineRule="exact"/>
        <w:ind w:left="0" w:leftChars="0" w:right="0" w:firstLine="640" w:firstLineChars="200"/>
        <w:jc w:val="both"/>
        <w:textAlignment w:val="auto"/>
        <w:outlineLvl w:val="9"/>
        <w:rPr>
          <w:rFonts w:hint="eastAsia" w:ascii="黑体" w:hAnsi="黑体" w:eastAsia="黑体" w:cs="黑体"/>
          <w:b w:val="0"/>
          <w:bCs w:val="0"/>
          <w:color w:val="auto"/>
          <w:spacing w:val="0"/>
          <w:kern w:val="0"/>
          <w:sz w:val="32"/>
          <w:szCs w:val="32"/>
          <w:highlight w:val="none"/>
          <w:shd w:val="clear" w:color="auto" w:fill="FFFFFF"/>
          <w:lang w:val="en-US" w:eastAsia="zh-CN" w:bidi="ar-SA"/>
        </w:rPr>
      </w:pPr>
      <w:r>
        <w:rPr>
          <w:rFonts w:hint="eastAsia" w:ascii="黑体" w:hAnsi="黑体" w:eastAsia="黑体" w:cs="黑体"/>
          <w:b w:val="0"/>
          <w:bCs w:val="0"/>
          <w:color w:val="auto"/>
          <w:spacing w:val="0"/>
          <w:kern w:val="0"/>
          <w:sz w:val="32"/>
          <w:szCs w:val="32"/>
          <w:highlight w:val="none"/>
          <w:shd w:val="clear" w:color="auto" w:fill="FFFFFF"/>
          <w:lang w:val="en-US" w:eastAsia="zh-CN" w:bidi="ar-SA"/>
        </w:rPr>
        <w:t>一、巡视巡察等整改主体责任扛得不牢，反馈问题整改不够彻底方面</w:t>
      </w:r>
    </w:p>
    <w:p>
      <w:pPr>
        <w:widowControl w:val="0"/>
        <w:wordWrap/>
        <w:adjustRightInd/>
        <w:snapToGrid/>
        <w:spacing w:line="580" w:lineRule="exact"/>
        <w:ind w:left="0" w:leftChars="0" w:right="0" w:firstLine="643" w:firstLineChars="200"/>
        <w:jc w:val="both"/>
        <w:textAlignment w:val="auto"/>
        <w:outlineLvl w:val="9"/>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pP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一是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“三化三制”改革后，逐步完善了党工委组织机构，2024年7月党工委班子成员已全部配备到位，党工委班子全面履职尽责、开展工作。</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二是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党工委书记主持召开党工委会议，深入学习习近平总书记关于巡视工作的重要论述，专题研究历次巡视巡察整改遗留问题，安排部署十二届市委第六轮巡察整改工作，以对党的事业高度负责的态度，切实增强巡视巡察整改政治自觉、思想自觉、行动自觉，坚决做到“两个维护”。</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三是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强化巡察整改“一盘棋”思想，由林州市委牵头，成立巡察整改落实工作专班，对历次巡视巡察审计反馈问题和本轮巡察反馈问题进行认真</w:t>
      </w:r>
      <w:bookmarkStart w:id="1" w:name="_GoBack"/>
      <w:bookmarkEnd w:id="1"/>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梳理，制定巡察整改台账，明确责任领导、责任部门、整改举措和整改时限。</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四是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党工委按要求召开巡察整改专题民主生活会，党工委主要负责人主动检讨问题、带头查摆整改，坚持实事求是、对标对表，刀刃向内、动真碰硬，切实提升巡察整改质效。</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五是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由党工委副书记、纪工委书记负责，每周召开巡察整改工作推进会，各牵头单位逐一汇报整改工作进展，确保问题整改如期清仓清零、到位见效。</w:t>
      </w:r>
    </w:p>
    <w:p>
      <w:pPr>
        <w:widowControl w:val="0"/>
        <w:wordWrap/>
        <w:adjustRightInd/>
        <w:snapToGrid/>
        <w:spacing w:line="580" w:lineRule="exact"/>
        <w:ind w:left="0" w:leftChars="0" w:right="0" w:firstLine="640" w:firstLineChars="200"/>
        <w:jc w:val="both"/>
        <w:textAlignment w:val="auto"/>
        <w:outlineLvl w:val="9"/>
        <w:rPr>
          <w:rFonts w:hint="eastAsia" w:ascii="楷体_GB2312" w:hAnsi="楷体_GB2312" w:eastAsia="楷体_GB2312" w:cs="楷体_GB2312"/>
          <w:b/>
          <w:bCs/>
          <w:color w:val="auto"/>
          <w:spacing w:val="0"/>
          <w:kern w:val="0"/>
          <w:sz w:val="32"/>
          <w:szCs w:val="32"/>
          <w:highlight w:val="none"/>
          <w:shd w:val="clear" w:color="auto" w:fill="FFFFFF"/>
          <w:lang w:val="en-US" w:eastAsia="zh-CN" w:bidi="ar-SA"/>
        </w:rPr>
      </w:pPr>
      <w:r>
        <w:rPr>
          <w:rFonts w:hint="eastAsia" w:ascii="黑体" w:hAnsi="黑体" w:eastAsia="黑体" w:cs="黑体"/>
          <w:b w:val="0"/>
          <w:bCs w:val="0"/>
          <w:color w:val="auto"/>
          <w:spacing w:val="0"/>
          <w:kern w:val="0"/>
          <w:sz w:val="32"/>
          <w:szCs w:val="32"/>
          <w:highlight w:val="none"/>
          <w:shd w:val="clear" w:color="auto" w:fill="FFFFFF"/>
          <w:lang w:val="en-US" w:eastAsia="zh-CN" w:bidi="ar-SA"/>
        </w:rPr>
        <w:t>二、推进高质量发展有差距，经济建设主阵地、主战场、主引擎功能辐射带动效应不强方面</w:t>
      </w:r>
    </w:p>
    <w:p>
      <w:pPr>
        <w:widowControl w:val="0"/>
        <w:numPr>
          <w:ilvl w:val="0"/>
          <w:numId w:val="0"/>
        </w:numPr>
        <w:wordWrap/>
        <w:adjustRightInd/>
        <w:snapToGrid/>
        <w:spacing w:line="580" w:lineRule="exact"/>
        <w:ind w:left="0" w:leftChars="0" w:right="0" w:firstLine="643" w:firstLineChars="200"/>
        <w:jc w:val="both"/>
        <w:textAlignment w:val="auto"/>
        <w:outlineLvl w:val="9"/>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pPr>
      <w:r>
        <w:rPr>
          <w:rFonts w:hint="eastAsia" w:ascii="楷体" w:hAnsi="楷体" w:eastAsia="楷体" w:cs="楷体"/>
          <w:b/>
          <w:bCs/>
          <w:color w:val="auto"/>
          <w:spacing w:val="0"/>
          <w:kern w:val="0"/>
          <w:sz w:val="32"/>
          <w:szCs w:val="32"/>
          <w:highlight w:val="none"/>
          <w:shd w:val="clear" w:color="auto" w:fill="FFFFFF"/>
          <w:lang w:val="en-US" w:eastAsia="zh-CN" w:bidi="ar-SA"/>
        </w:rPr>
        <w:t>（一）贯彻新发展理念有差距。</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一是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强化企业科技创新主体地位，建立高新技术企业培育库，将区内科技含量高的中小企业列入安阳市“青苗企业”培育名单，集中优势培育“青苗企业”。制定《规模以上工业企业研发费用全覆盖三年行动计划》，组织区内企业参加各类研发活动培训，实行研发活动全覆盖。</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二是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采取每周督促项目进展情况、定期召开工业企业经济运行分析会、严格招商项目准入机制等措施，推动主导产业稳产增效、提质升级。</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三是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不断加强与安阳高新区、汤阴高新区的合作交流，通过双方资源共享，形成错位发展、各具特色的产业集群。</w:t>
      </w:r>
    </w:p>
    <w:p>
      <w:pPr>
        <w:widowControl w:val="0"/>
        <w:numPr>
          <w:ilvl w:val="0"/>
          <w:numId w:val="0"/>
        </w:numPr>
        <w:wordWrap/>
        <w:adjustRightInd/>
        <w:snapToGrid/>
        <w:spacing w:line="580" w:lineRule="exact"/>
        <w:ind w:left="0" w:leftChars="0" w:right="0" w:firstLine="643" w:firstLineChars="200"/>
        <w:jc w:val="both"/>
        <w:textAlignment w:val="auto"/>
        <w:outlineLvl w:val="9"/>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pPr>
      <w:r>
        <w:rPr>
          <w:rFonts w:hint="eastAsia" w:ascii="楷体" w:hAnsi="楷体" w:eastAsia="楷体" w:cs="楷体"/>
          <w:b/>
          <w:bCs/>
          <w:color w:val="auto"/>
          <w:spacing w:val="0"/>
          <w:kern w:val="0"/>
          <w:sz w:val="32"/>
          <w:szCs w:val="32"/>
          <w:highlight w:val="none"/>
          <w:shd w:val="clear" w:color="auto" w:fill="FFFFFF"/>
          <w:lang w:val="en-US" w:eastAsia="zh-CN" w:bidi="ar-SA"/>
        </w:rPr>
        <w:t>（二）产业转型升级步伐缓慢</w:t>
      </w:r>
      <w:r>
        <w:rPr>
          <w:rFonts w:hint="eastAsia" w:ascii="楷体" w:hAnsi="楷体" w:eastAsia="楷体" w:cs="楷体"/>
          <w:b w:val="0"/>
          <w:bCs w:val="0"/>
          <w:color w:val="auto"/>
          <w:spacing w:val="0"/>
          <w:kern w:val="0"/>
          <w:sz w:val="32"/>
          <w:szCs w:val="32"/>
          <w:highlight w:val="none"/>
          <w:shd w:val="clear" w:color="auto" w:fill="FFFFFF"/>
          <w:lang w:val="en-US" w:eastAsia="zh-CN" w:bidi="ar-SA"/>
        </w:rPr>
        <w:t>。</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一是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坚持绿色低碳发展战略，持续优化产业结构，一方面加快传统钢铁产业转型升级，推动企业实施节能降碳和数字化技术改造，加大高技术制造业和战略性新兴产业的培育力度，持续挖掘高技术制造业和战略性新兴产业发展潜能。</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二是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实施项目预审机制，严禁“两高”项目准入，加大高技术制造业和战略性新兴产业的培育力度，推进绿色能源项目建设，引导区内企业向绿色化、循环化发展。</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三是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不断完善招商引资考核办法，将外向型经济引育纳入林州市各镇办招商引资年度考核内容，并建立外资外贸重点项目工作台账和“外贸企业梯度培育信息表”，鼓励企业积极开拓国际市场，引进第三方平台，帮助本地企业开展外贸业务，不断优化外贸结构。</w:t>
      </w:r>
    </w:p>
    <w:p>
      <w:pPr>
        <w:widowControl w:val="0"/>
        <w:numPr>
          <w:ilvl w:val="0"/>
          <w:numId w:val="0"/>
        </w:numPr>
        <w:wordWrap/>
        <w:adjustRightInd/>
        <w:snapToGrid/>
        <w:spacing w:line="580" w:lineRule="exact"/>
        <w:ind w:left="0" w:leftChars="0" w:right="0" w:firstLine="643" w:firstLineChars="200"/>
        <w:jc w:val="both"/>
        <w:textAlignment w:val="auto"/>
        <w:outlineLvl w:val="9"/>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pPr>
      <w:r>
        <w:rPr>
          <w:rFonts w:hint="eastAsia" w:ascii="楷体" w:hAnsi="楷体" w:eastAsia="楷体" w:cs="楷体"/>
          <w:b/>
          <w:bCs/>
          <w:color w:val="auto"/>
          <w:spacing w:val="0"/>
          <w:kern w:val="0"/>
          <w:sz w:val="32"/>
          <w:szCs w:val="32"/>
          <w:highlight w:val="none"/>
          <w:shd w:val="clear" w:color="auto" w:fill="FFFFFF"/>
          <w:lang w:val="en-US" w:eastAsia="zh-CN" w:bidi="ar-SA"/>
        </w:rPr>
        <w:t>（三）招商引资质效不高。</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一是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创新招商引资新模式，设立林州巨创产业基金，助力签约项目落地投产。充分发挥四个驻外招商联络“前沿哨所”作用，由各镇(办)派遣优秀招商干部入驻，持续完善工作机制、专业化队伍建设，通过驻地招商实现招商效率大提升。</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二是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制定《红旗渠经济技术开发区产业引导基金管理暂行办法》，发挥制度优势，引导社会专业机构积极参与，充分发挥市场化竞争机制。</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三是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严格执行“三重一大”决策制度、招商引资项目准入机制、项目尽职调查工作机制等，规范账务管理，加强扶持企业事前、事中、事后全过程监管，持续实施多种招商模式，切实提高在谈项目签约转化率，确保招商项目质效“双提升”。</w:t>
      </w:r>
    </w:p>
    <w:p>
      <w:pPr>
        <w:widowControl w:val="0"/>
        <w:wordWrap/>
        <w:adjustRightInd/>
        <w:snapToGrid/>
        <w:spacing w:line="580" w:lineRule="exact"/>
        <w:ind w:left="0" w:leftChars="0" w:right="0" w:firstLine="640" w:firstLineChars="200"/>
        <w:jc w:val="both"/>
        <w:textAlignment w:val="auto"/>
        <w:outlineLvl w:val="9"/>
        <w:rPr>
          <w:rFonts w:hint="eastAsia" w:ascii="楷体_GB2312" w:hAnsi="楷体_GB2312" w:eastAsia="楷体_GB2312" w:cs="楷体_GB2312"/>
          <w:b/>
          <w:bCs/>
          <w:color w:val="auto"/>
          <w:spacing w:val="0"/>
          <w:kern w:val="0"/>
          <w:sz w:val="32"/>
          <w:szCs w:val="32"/>
          <w:highlight w:val="none"/>
          <w:shd w:val="clear" w:color="auto" w:fill="FFFFFF"/>
          <w:lang w:val="en-US" w:eastAsia="zh-CN" w:bidi="ar-SA"/>
        </w:rPr>
      </w:pPr>
      <w:r>
        <w:rPr>
          <w:rFonts w:hint="eastAsia" w:ascii="黑体" w:hAnsi="黑体" w:eastAsia="黑体" w:cs="黑体"/>
          <w:b w:val="0"/>
          <w:bCs w:val="0"/>
          <w:color w:val="auto"/>
          <w:spacing w:val="0"/>
          <w:kern w:val="0"/>
          <w:sz w:val="32"/>
          <w:szCs w:val="32"/>
          <w:highlight w:val="none"/>
          <w:shd w:val="clear" w:color="auto" w:fill="FFFFFF"/>
          <w:lang w:val="en-US" w:eastAsia="zh-CN" w:bidi="ar-SA"/>
        </w:rPr>
        <w:t>三、破解改革难题韧劲不足，深化“三化三制”改革后半篇文章不够扎实方面</w:t>
      </w:r>
    </w:p>
    <w:p>
      <w:pPr>
        <w:pStyle w:val="3"/>
        <w:widowControl w:val="0"/>
        <w:numPr>
          <w:ilvl w:val="0"/>
          <w:numId w:val="0"/>
        </w:numPr>
        <w:wordWrap/>
        <w:adjustRightInd/>
        <w:snapToGrid/>
        <w:spacing w:after="0" w:line="580" w:lineRule="exact"/>
        <w:ind w:left="0" w:leftChars="0" w:right="0" w:firstLine="643" w:firstLineChars="200"/>
        <w:jc w:val="both"/>
        <w:textAlignment w:val="auto"/>
        <w:outlineLvl w:val="9"/>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pPr>
      <w:r>
        <w:rPr>
          <w:rFonts w:hint="eastAsia" w:ascii="楷体" w:hAnsi="楷体" w:eastAsia="楷体" w:cs="楷体"/>
          <w:b/>
          <w:bCs/>
          <w:color w:val="auto"/>
          <w:spacing w:val="0"/>
          <w:kern w:val="0"/>
          <w:sz w:val="32"/>
          <w:szCs w:val="32"/>
          <w:highlight w:val="none"/>
          <w:shd w:val="clear" w:color="auto" w:fill="FFFFFF"/>
          <w:lang w:val="en-US" w:eastAsia="zh-CN" w:bidi="ar-SA"/>
        </w:rPr>
        <w:t>（一）管理体制机制未完全理顺。</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一是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林州市委、市政府以及市编办和经开区相继出台相关文件，进一步理顺了管理体制机制、放权赋能、转型发展、要素保障等顶层设计，明确了职能配置、内设机构、人员编制和职责范围。</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二是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根据权责清单内容，按照工作职责范围和实际情况，明确承接的所有赋权事项由相关局办负责办理。在招商大厦一楼东侧高标准谋划建设现代化智能化服务大厅，并定期组织相关部门业务培训、学习法律法规、政务服务和政策文件规定，确保工作人员熟练掌握所承担事项服务指南及相关法律法规、工作流程、系统操作等，加快打通服务企业的“最后一公里”。</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三是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充分发挥制度优势，加强对平台公司投融资监管指导，积极推进国资公司市场化运营，拓展项目建设、商品代理、贸易合作等方面业务，增强平台公司内生动力和“造血”功能。</w:t>
      </w:r>
    </w:p>
    <w:p>
      <w:pPr>
        <w:pStyle w:val="3"/>
        <w:widowControl w:val="0"/>
        <w:numPr>
          <w:ilvl w:val="0"/>
          <w:numId w:val="0"/>
        </w:numPr>
        <w:wordWrap/>
        <w:adjustRightInd/>
        <w:snapToGrid/>
        <w:spacing w:after="0" w:line="580" w:lineRule="exact"/>
        <w:ind w:left="0" w:leftChars="0" w:right="0" w:firstLine="643" w:firstLineChars="200"/>
        <w:jc w:val="both"/>
        <w:textAlignment w:val="auto"/>
        <w:outlineLvl w:val="9"/>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pPr>
      <w:r>
        <w:rPr>
          <w:rFonts w:hint="eastAsia" w:ascii="楷体" w:hAnsi="楷体" w:eastAsia="楷体" w:cs="楷体"/>
          <w:b/>
          <w:bCs/>
          <w:color w:val="auto"/>
          <w:spacing w:val="0"/>
          <w:kern w:val="0"/>
          <w:sz w:val="32"/>
          <w:szCs w:val="32"/>
          <w:highlight w:val="none"/>
          <w:shd w:val="clear" w:color="auto" w:fill="FFFFFF"/>
          <w:lang w:val="en-US" w:eastAsia="zh-CN" w:bidi="ar-SA"/>
        </w:rPr>
        <w:t>（二）干部人才支撑水平不高。</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一是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结合“三化三制”要求，根据各局办人岗匹配、紧缺型人才需求等情况，在“三定方案”员额范围内适时启动招聘程序，面向社会招聘优秀人才充实到干部队伍中。</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二是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同时全面摸排自查人岗分离现象，不断优化调整局办岗位，同时采用“末位淘汰”工作机制，不断提高干部队伍与高质量发展的匹配度和融合度。三</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制定《红旗渠经开区干部素质提升方案》，引导干部职工进行学历提升和技能提升，提高干部专业化水平。</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四是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进一步加大企业招聘力度，持续推进“洹泉涌流·智汇红旗渠”人才集聚计划，多次举办现场招聘会，为企业搭建招聘技工的平台，帮助企业缓解用工荒。</w:t>
      </w:r>
    </w:p>
    <w:p>
      <w:pPr>
        <w:pStyle w:val="3"/>
        <w:widowControl w:val="0"/>
        <w:numPr>
          <w:ilvl w:val="0"/>
          <w:numId w:val="0"/>
        </w:numPr>
        <w:wordWrap/>
        <w:adjustRightInd/>
        <w:snapToGrid/>
        <w:spacing w:after="0" w:line="580" w:lineRule="exact"/>
        <w:ind w:left="0" w:leftChars="0" w:right="0" w:firstLine="643" w:firstLineChars="200"/>
        <w:jc w:val="both"/>
        <w:textAlignment w:val="auto"/>
        <w:outlineLvl w:val="9"/>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pPr>
      <w:r>
        <w:rPr>
          <w:rFonts w:hint="eastAsia" w:ascii="楷体" w:hAnsi="楷体" w:eastAsia="楷体" w:cs="楷体"/>
          <w:b/>
          <w:bCs/>
          <w:color w:val="auto"/>
          <w:spacing w:val="0"/>
          <w:kern w:val="0"/>
          <w:sz w:val="32"/>
          <w:szCs w:val="32"/>
          <w:highlight w:val="none"/>
          <w:shd w:val="clear" w:color="auto" w:fill="FFFFFF"/>
          <w:lang w:val="en-US" w:eastAsia="zh-CN" w:bidi="ar-SA"/>
        </w:rPr>
        <w:t>（三）落实“三制”管理有差距。</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出台《红旗渠经开区“三化三制”改革岗位优化设置方案》，结合实际优化调整现有岗位、优化考核机制，发挥绩效考核导向作用，加大经济发展、招商引资、项目管理等一线岗位薪酬激励，完善末位重塑管理办法，形成“优者胜、劣者汰”竞争模式。</w:t>
      </w:r>
    </w:p>
    <w:p>
      <w:pPr>
        <w:pStyle w:val="3"/>
        <w:widowControl w:val="0"/>
        <w:numPr>
          <w:ilvl w:val="0"/>
          <w:numId w:val="0"/>
        </w:numPr>
        <w:wordWrap/>
        <w:adjustRightInd/>
        <w:snapToGrid/>
        <w:spacing w:after="0" w:line="580" w:lineRule="exact"/>
        <w:ind w:left="0" w:leftChars="0" w:right="0" w:firstLine="640" w:firstLineChars="200"/>
        <w:jc w:val="both"/>
        <w:textAlignment w:val="auto"/>
        <w:outlineLvl w:val="9"/>
        <w:rPr>
          <w:rFonts w:hint="eastAsia" w:ascii="黑体" w:hAnsi="黑体" w:eastAsia="黑体" w:cs="黑体"/>
          <w:b w:val="0"/>
          <w:bCs w:val="0"/>
          <w:color w:val="auto"/>
          <w:spacing w:val="0"/>
          <w:kern w:val="2"/>
          <w:sz w:val="32"/>
          <w:szCs w:val="32"/>
          <w:highlight w:val="none"/>
          <w:lang w:val="en-US" w:eastAsia="zh-CN" w:bidi="ar-SA"/>
        </w:rPr>
      </w:pPr>
      <w:r>
        <w:rPr>
          <w:rFonts w:hint="eastAsia" w:ascii="黑体" w:hAnsi="黑体" w:eastAsia="黑体" w:cs="黑体"/>
          <w:b w:val="0"/>
          <w:bCs w:val="0"/>
          <w:color w:val="auto"/>
          <w:spacing w:val="0"/>
          <w:kern w:val="2"/>
          <w:sz w:val="32"/>
          <w:szCs w:val="32"/>
          <w:highlight w:val="none"/>
          <w:lang w:val="en-US" w:eastAsia="zh-CN" w:bidi="ar-SA"/>
        </w:rPr>
        <w:t>四、政治统领不够有力，党工委领导作用发挥不够充分方面</w:t>
      </w:r>
    </w:p>
    <w:p>
      <w:pPr>
        <w:widowControl w:val="0"/>
        <w:numPr>
          <w:ilvl w:val="0"/>
          <w:numId w:val="0"/>
        </w:numPr>
        <w:wordWrap/>
        <w:adjustRightInd/>
        <w:snapToGrid/>
        <w:spacing w:line="580" w:lineRule="exact"/>
        <w:ind w:left="0" w:leftChars="0" w:right="0" w:firstLine="643" w:firstLineChars="200"/>
        <w:jc w:val="both"/>
        <w:textAlignment w:val="auto"/>
        <w:outlineLvl w:val="9"/>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pPr>
      <w:r>
        <w:rPr>
          <w:rFonts w:hint="eastAsia" w:ascii="楷体" w:hAnsi="楷体" w:eastAsia="楷体" w:cs="楷体"/>
          <w:b/>
          <w:bCs/>
          <w:color w:val="auto"/>
          <w:spacing w:val="0"/>
          <w:kern w:val="0"/>
          <w:sz w:val="32"/>
          <w:szCs w:val="32"/>
          <w:highlight w:val="none"/>
          <w:shd w:val="clear" w:color="auto" w:fill="FFFFFF"/>
          <w:lang w:val="en-US" w:eastAsia="zh-CN" w:bidi="ar-SA"/>
        </w:rPr>
        <w:t>（一）党建引领作用不突出。</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一是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不断强化理论学习，规范并严格落实理论中心组学习制度、“第一议题”学习制度和“全民学习日”“每日分享”等载体，认真开展专题研讨，撰写心得体会，依据实际工作撰写调研报告，不断用党的创新理论武装头脑、指导实践、推动工作。</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二是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调整机关党组织架构，明确分管党建工作领导，配备专职党务工作者负责党建日常工作，加强对发展党员工作的全程监督和检查，严格落实“三会一课”制度，筑牢基层战斗堡垒。</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三是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印发《中共红旗渠经济技术开发区工作委员会关于加强区内非公党建工作的指导意见》，理顺区内非公企业党建工作隶属关系，规范组织设置，加强非公企业党建规范化建设。</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四是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把群团组织建设纳入党建工作同安排、同部署，切实加强党对群团组织的领导和指导力度，推动团建工作与行业发展深度融合，为高质量发展汇聚青春动能。</w:t>
      </w:r>
    </w:p>
    <w:p>
      <w:pPr>
        <w:widowControl w:val="0"/>
        <w:numPr>
          <w:ilvl w:val="0"/>
          <w:numId w:val="0"/>
        </w:numPr>
        <w:wordWrap/>
        <w:adjustRightInd/>
        <w:snapToGrid/>
        <w:spacing w:line="580" w:lineRule="exact"/>
        <w:ind w:left="0" w:leftChars="0" w:right="0" w:firstLine="643" w:firstLineChars="200"/>
        <w:jc w:val="both"/>
        <w:textAlignment w:val="auto"/>
        <w:outlineLvl w:val="9"/>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pPr>
      <w:r>
        <w:rPr>
          <w:rFonts w:hint="eastAsia" w:ascii="楷体" w:hAnsi="楷体" w:eastAsia="楷体" w:cs="楷体"/>
          <w:b/>
          <w:bCs/>
          <w:color w:val="auto"/>
          <w:spacing w:val="0"/>
          <w:kern w:val="0"/>
          <w:sz w:val="32"/>
          <w:szCs w:val="32"/>
          <w:highlight w:val="none"/>
          <w:shd w:val="clear" w:color="auto" w:fill="FFFFFF"/>
          <w:lang w:val="en-US" w:eastAsia="zh-CN" w:bidi="ar-SA"/>
        </w:rPr>
        <w:t>（二）传承弘扬红旗渠精神有所懈怠。</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一是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围绕安阳市打造“一高地一区三中心”奋斗目标，制定《我为强市建设做贡献大讨论工作方案》，按照活动方案，积极开展宣传动员、专题党课、建言献策、助企纾困等一系列活动。</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二是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坚持大员上阵、全员参与、专班推进，成立了铁路专用线项目建设指挥部、闲置资源闲置厂房盘活工作专班，利用多种方式推动项目建设。</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三是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建立长效机制，明确出让地块固定资产投资强度、亩均税收、建筑容积率等各项要求，严把工业用地准入关口，提升土地资源综合利用效率，盘活区内闲置厂房资源。</w:t>
      </w:r>
    </w:p>
    <w:p>
      <w:pPr>
        <w:widowControl w:val="0"/>
        <w:numPr>
          <w:ilvl w:val="0"/>
          <w:numId w:val="0"/>
        </w:numPr>
        <w:wordWrap/>
        <w:adjustRightInd/>
        <w:snapToGrid/>
        <w:spacing w:line="580" w:lineRule="exact"/>
        <w:ind w:left="0" w:leftChars="0" w:right="0" w:firstLine="643" w:firstLineChars="200"/>
        <w:jc w:val="both"/>
        <w:textAlignment w:val="auto"/>
        <w:outlineLvl w:val="9"/>
        <w:rPr>
          <w:rFonts w:hint="default" w:ascii="仿宋_GB2312" w:hAnsi="仿宋_GB2312" w:eastAsia="仿宋_GB2312" w:cs="仿宋_GB2312"/>
          <w:b w:val="0"/>
          <w:bCs w:val="0"/>
          <w:color w:val="auto"/>
          <w:spacing w:val="0"/>
          <w:kern w:val="0"/>
          <w:sz w:val="32"/>
          <w:szCs w:val="32"/>
          <w:highlight w:val="none"/>
          <w:shd w:val="clear" w:color="auto" w:fill="FFFFFF"/>
          <w:lang w:val="en-US" w:eastAsia="zh-CN" w:bidi="ar-SA"/>
        </w:rPr>
      </w:pPr>
      <w:r>
        <w:rPr>
          <w:rFonts w:hint="eastAsia" w:ascii="楷体" w:hAnsi="楷体" w:eastAsia="楷体" w:cs="楷体"/>
          <w:b/>
          <w:bCs/>
          <w:color w:val="auto"/>
          <w:spacing w:val="0"/>
          <w:kern w:val="0"/>
          <w:sz w:val="32"/>
          <w:szCs w:val="32"/>
          <w:highlight w:val="none"/>
          <w:shd w:val="clear" w:color="auto" w:fill="FFFFFF"/>
          <w:lang w:val="en-US" w:eastAsia="zh-CN" w:bidi="ar-SA"/>
        </w:rPr>
        <w:t>（三）党工委领导作用发挥不够充分。</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一是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加强领导班子建设、明确职责分工、健全意识形态工作机制，配齐配强了党工委领导班子，党工委主要领导常态化参加党工委会议，研究部署工作，认真履行党工委主要领导职能并在党工委会上专题研究意识形态工作。</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二是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将习近平法治思想、宪法法律等核心内容纳入理论中心组、党工委会议、主任办公会和各党支部的必修学习内容，确保领导班子成员和党员干部都能深入理解法治精神，提高法治素养。</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三是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通过进一步完善党工委、管委会议事制度，明确党工委和管委会议事职责，严格执行制度要求，确保各类会议及议事决策程序标准化、规范化。</w:t>
      </w:r>
    </w:p>
    <w:p>
      <w:pPr>
        <w:widowControl w:val="0"/>
        <w:wordWrap/>
        <w:adjustRightInd/>
        <w:snapToGrid/>
        <w:spacing w:line="580" w:lineRule="exact"/>
        <w:ind w:left="0" w:leftChars="0" w:right="0" w:firstLine="640" w:firstLineChars="200"/>
        <w:jc w:val="both"/>
        <w:textAlignment w:val="auto"/>
        <w:outlineLvl w:val="9"/>
        <w:rPr>
          <w:rFonts w:hint="eastAsia" w:ascii="黑体" w:hAnsi="黑体" w:eastAsia="黑体" w:cs="黑体"/>
          <w:b w:val="0"/>
          <w:bCs w:val="0"/>
          <w:color w:val="auto"/>
          <w:spacing w:val="-3"/>
          <w:kern w:val="0"/>
          <w:sz w:val="32"/>
          <w:szCs w:val="32"/>
          <w:highlight w:val="none"/>
          <w:shd w:val="clear" w:color="auto" w:fill="FFFFFF"/>
          <w:lang w:val="en-US" w:eastAsia="zh-CN" w:bidi="ar-SA"/>
        </w:rPr>
      </w:pPr>
      <w:r>
        <w:rPr>
          <w:rFonts w:hint="eastAsia" w:ascii="黑体" w:hAnsi="黑体" w:eastAsia="黑体" w:cs="黑体"/>
          <w:b w:val="0"/>
          <w:bCs w:val="0"/>
          <w:color w:val="auto"/>
          <w:spacing w:val="0"/>
          <w:kern w:val="0"/>
          <w:sz w:val="32"/>
          <w:szCs w:val="32"/>
          <w:highlight w:val="none"/>
          <w:shd w:val="clear" w:color="auto" w:fill="FFFFFF"/>
          <w:lang w:val="en-US" w:eastAsia="zh-CN" w:bidi="ar-SA"/>
        </w:rPr>
        <w:t>五、</w:t>
      </w:r>
      <w:r>
        <w:rPr>
          <w:rFonts w:hint="eastAsia" w:ascii="黑体" w:hAnsi="黑体" w:eastAsia="黑体" w:cs="黑体"/>
          <w:b w:val="0"/>
          <w:bCs w:val="0"/>
          <w:color w:val="auto"/>
          <w:spacing w:val="-3"/>
          <w:kern w:val="0"/>
          <w:sz w:val="32"/>
          <w:szCs w:val="32"/>
          <w:highlight w:val="none"/>
          <w:shd w:val="clear" w:color="auto" w:fill="FFFFFF"/>
          <w:lang w:val="en-US" w:eastAsia="zh-CN" w:bidi="ar-SA"/>
        </w:rPr>
        <w:t>全面从严治党责任落实不力，纪律监督不够严格方面</w:t>
      </w:r>
    </w:p>
    <w:p>
      <w:pPr>
        <w:widowControl w:val="0"/>
        <w:numPr>
          <w:ilvl w:val="0"/>
          <w:numId w:val="0"/>
        </w:numPr>
        <w:wordWrap/>
        <w:adjustRightInd/>
        <w:snapToGrid/>
        <w:spacing w:line="580" w:lineRule="exact"/>
        <w:ind w:left="0" w:leftChars="0" w:right="0" w:firstLine="643" w:firstLineChars="200"/>
        <w:jc w:val="both"/>
        <w:textAlignment w:val="auto"/>
        <w:outlineLvl w:val="9"/>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pPr>
      <w:r>
        <w:rPr>
          <w:rFonts w:hint="eastAsia" w:ascii="楷体" w:hAnsi="楷体" w:eastAsia="楷体" w:cs="楷体"/>
          <w:b/>
          <w:bCs/>
          <w:color w:val="auto"/>
          <w:spacing w:val="0"/>
          <w:kern w:val="0"/>
          <w:sz w:val="32"/>
          <w:szCs w:val="32"/>
          <w:highlight w:val="none"/>
          <w:shd w:val="clear" w:color="auto" w:fill="FFFFFF"/>
          <w:lang w:val="en-US" w:eastAsia="zh-CN" w:bidi="ar-SA"/>
        </w:rPr>
        <w:t>（一）纪检监督作用发挥不充分。</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一</w:t>
      </w:r>
      <w:r>
        <w:rPr>
          <w:rFonts w:hint="eastAsia" w:ascii="仿宋_GB2312" w:hAnsi="仿宋_GB2312" w:eastAsia="仿宋_GB2312" w:cs="仿宋_GB2312"/>
          <w:b/>
          <w:bCs/>
          <w:color w:val="auto"/>
          <w:spacing w:val="-2"/>
          <w:kern w:val="0"/>
          <w:sz w:val="32"/>
          <w:szCs w:val="32"/>
          <w:highlight w:val="none"/>
          <w:shd w:val="clear" w:color="auto" w:fill="FFFFFF"/>
          <w:lang w:val="en-US" w:eastAsia="zh-CN" w:bidi="ar-SA"/>
        </w:rPr>
        <w:t>是</w:t>
      </w:r>
      <w:r>
        <w:rPr>
          <w:rFonts w:hint="eastAsia" w:ascii="仿宋_GB2312" w:hAnsi="仿宋_GB2312" w:eastAsia="仿宋_GB2312" w:cs="仿宋_GB2312"/>
          <w:b w:val="0"/>
          <w:bCs w:val="0"/>
          <w:color w:val="auto"/>
          <w:spacing w:val="-2"/>
          <w:kern w:val="0"/>
          <w:sz w:val="32"/>
          <w:szCs w:val="32"/>
          <w:highlight w:val="none"/>
          <w:shd w:val="clear" w:color="auto" w:fill="FFFFFF"/>
          <w:lang w:val="en-US" w:eastAsia="zh-CN" w:bidi="ar-SA"/>
        </w:rPr>
        <w:t>及时调整党风廉政建设工作领导小组，由党工委书记担任领导小组组长，充分发挥党组书记牵头抓总作用，认真履行“一岗双责”、直接责任人职责。全体机关干部签署“一岗双责”承诺书，分层分级开展提醒谈话，以党支部为单位开展以案促改警示教育活动。开展廉政风险排查，进一步梳理廉政风险点和防控措施。</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二是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与林州市委编办沟通纪工委“三定”事宜，并印制《红旗渠经开区纪工委职责、配置、人员编制和内设机构的请示》。采取内部调整、竞聘上岗等方式，逐步配备纪工委专职工作人员，进一步健全监督机构，规范党的纪律检查、行政监察和党风政风监督管理。</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三是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开展以案促改警示教育，对违法违纪案件进行深入剖析整改，用身边事教育身边人，以“活教材”常敲“警示钟”。加强廉政风险隐患排查，针对腐败现象易发多发的重要领域和关键环节，制定防控措施，教育引导党员干部不当局外人和旁观者，真正把自己摆进去。组织全体人员签订廉政承诺书，在“七一”等重要时间节点组织全体党员重温入党誓词，定期对各支部党章党纪学习内容进行检查。组织干部到谷文昌纪念馆、扁担精神纪念馆等进行警示教育活动，每季度组织干部集中学习、观看各级纪委监委警示教育片，向各局办印发典型案例通报；开展以案促改进家庭，纪工委相关负责同志为全体机关干部讲授家风廉政党课，不断巩固发展经开区风清气正的政治生态。</w:t>
      </w:r>
    </w:p>
    <w:p>
      <w:pPr>
        <w:widowControl w:val="0"/>
        <w:wordWrap/>
        <w:adjustRightInd/>
        <w:snapToGrid/>
        <w:spacing w:line="580" w:lineRule="exact"/>
        <w:ind w:left="0" w:leftChars="0" w:right="0" w:firstLine="643" w:firstLineChars="200"/>
        <w:jc w:val="both"/>
        <w:textAlignment w:val="auto"/>
        <w:outlineLvl w:val="9"/>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pPr>
      <w:r>
        <w:rPr>
          <w:rFonts w:hint="eastAsia" w:ascii="楷体" w:hAnsi="楷体" w:eastAsia="楷体" w:cs="楷体"/>
          <w:b/>
          <w:bCs/>
          <w:color w:val="auto"/>
          <w:spacing w:val="0"/>
          <w:kern w:val="0"/>
          <w:sz w:val="32"/>
          <w:szCs w:val="32"/>
          <w:highlight w:val="none"/>
          <w:shd w:val="clear" w:color="auto" w:fill="FFFFFF"/>
          <w:lang w:val="en-US" w:eastAsia="zh-CN" w:bidi="ar-SA"/>
        </w:rPr>
        <w:t>（二）违反财经纪律问题时有发生。</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一是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严格按照相关制度及管理办法执行，加强工程项目现场勘察及施工图设计审核，科学精准编制预算，从源头上做好预算控制。按照省、市相关规定，结合实际出台了《红旗渠经济技术开发区工程建设项目造价管理办法》，明确了工程项目变更及预算调整程序、实施办法、监督管理等办法，以制度规范工程项目投资管理行为。</w:t>
      </w:r>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二是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严格执行《预算法》和《预算法实施条例》，不得办理无预算、无用款计划、超预算或者超计划的资金拨付。</w:t>
      </w:r>
      <w:bookmarkStart w:id="0" w:name="OLE_LINK4"/>
      <w:r>
        <w:rPr>
          <w:rFonts w:hint="eastAsia" w:ascii="仿宋_GB2312" w:hAnsi="仿宋_GB2312" w:eastAsia="仿宋_GB2312" w:cs="仿宋_GB2312"/>
          <w:b/>
          <w:bCs/>
          <w:color w:val="auto"/>
          <w:spacing w:val="0"/>
          <w:kern w:val="0"/>
          <w:sz w:val="32"/>
          <w:szCs w:val="32"/>
          <w:highlight w:val="none"/>
          <w:shd w:val="clear" w:color="auto" w:fill="FFFFFF"/>
          <w:lang w:val="en-US" w:eastAsia="zh-CN" w:bidi="ar-SA"/>
        </w:rPr>
        <w:t>三是</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 xml:space="preserve">严格执行招商引资项目准入机制，预审项目须提供项目可行性研究报告、设备清单等资料，确保筛选高质量投资项目入驻。 </w:t>
      </w:r>
      <w:bookmarkEnd w:id="0"/>
    </w:p>
    <w:p>
      <w:pPr>
        <w:widowControl w:val="0"/>
        <w:wordWrap/>
        <w:adjustRightInd/>
        <w:snapToGrid/>
        <w:spacing w:line="580" w:lineRule="exact"/>
        <w:ind w:left="0" w:leftChars="0" w:right="0" w:firstLine="640" w:firstLineChars="200"/>
        <w:jc w:val="both"/>
        <w:textAlignment w:val="auto"/>
        <w:outlineLvl w:val="9"/>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pPr>
    </w:p>
    <w:p>
      <w:pPr>
        <w:widowControl w:val="0"/>
        <w:wordWrap/>
        <w:adjustRightInd/>
        <w:snapToGrid/>
        <w:spacing w:line="580" w:lineRule="exact"/>
        <w:ind w:left="0" w:leftChars="0" w:right="0" w:firstLine="640" w:firstLineChars="200"/>
        <w:jc w:val="both"/>
        <w:textAlignment w:val="auto"/>
        <w:outlineLvl w:val="9"/>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pP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t>欢迎广大干部群众对巡察整改落实情况进行监督。如有意见和建议，请及时向我们反映。联系方式：电话0372-6189001；邮政信箱：林州市龙安路北段1396号招商大厦；电子邮箱</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fldChar w:fldCharType="begin"/>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instrText xml:space="preserve"> HYPERLINK "mailto:hqqjkq@126.com。" </w:instrTex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fldChar w:fldCharType="separate"/>
      </w:r>
      <w:r>
        <w:rPr>
          <w:rStyle w:val="15"/>
          <w:rFonts w:hint="eastAsia" w:ascii="仿宋_GB2312" w:hAnsi="仿宋_GB2312" w:eastAsia="仿宋_GB2312" w:cs="仿宋_GB2312"/>
          <w:b w:val="0"/>
          <w:bCs w:val="0"/>
          <w:spacing w:val="0"/>
          <w:kern w:val="0"/>
          <w:sz w:val="32"/>
          <w:szCs w:val="32"/>
          <w:highlight w:val="none"/>
          <w:shd w:val="clear" w:color="auto" w:fill="FFFFFF"/>
          <w:lang w:val="en-US" w:eastAsia="zh-CN" w:bidi="ar-SA"/>
        </w:rPr>
        <w:t>hqqjkq@126.com。</w:t>
      </w:r>
      <w:r>
        <w:rPr>
          <w:rFonts w:hint="eastAsia" w:ascii="仿宋_GB2312" w:hAnsi="仿宋_GB2312" w:eastAsia="仿宋_GB2312" w:cs="仿宋_GB2312"/>
          <w:b w:val="0"/>
          <w:bCs w:val="0"/>
          <w:color w:val="auto"/>
          <w:spacing w:val="0"/>
          <w:kern w:val="0"/>
          <w:sz w:val="32"/>
          <w:szCs w:val="32"/>
          <w:highlight w:val="none"/>
          <w:shd w:val="clear" w:color="auto" w:fill="FFFFFF"/>
          <w:lang w:val="en-US" w:eastAsia="zh-CN" w:bidi="ar-SA"/>
        </w:rPr>
        <w:fldChar w:fldCharType="end"/>
      </w:r>
    </w:p>
    <w:p>
      <w:pPr>
        <w:pStyle w:val="2"/>
        <w:widowControl w:val="0"/>
        <w:adjustRightInd/>
        <w:snapToGrid/>
        <w:spacing w:after="0" w:line="580" w:lineRule="exact"/>
        <w:ind w:left="0" w:leftChars="0" w:right="0"/>
        <w:textAlignment w:val="auto"/>
        <w:outlineLvl w:val="9"/>
        <w:rPr>
          <w:rFonts w:hint="eastAsia"/>
          <w:lang w:val="en-US" w:eastAsia="zh-CN"/>
        </w:rPr>
      </w:pPr>
    </w:p>
    <w:p>
      <w:pPr>
        <w:widowControl w:val="0"/>
        <w:wordWrap/>
        <w:adjustRightInd/>
        <w:snapToGrid/>
        <w:spacing w:line="580" w:lineRule="exact"/>
        <w:ind w:left="0" w:leftChars="0" w:right="0" w:firstLine="640" w:firstLineChars="200"/>
        <w:jc w:val="both"/>
        <w:textAlignment w:val="auto"/>
        <w:outlineLvl w:val="9"/>
        <w:rPr>
          <w:rFonts w:hint="eastAsia" w:ascii="仿宋_GB2312" w:hAnsi="仿宋_GB2312" w:eastAsia="仿宋_GB2312" w:cs="仿宋_GB2312"/>
          <w:spacing w:val="0"/>
          <w:sz w:val="32"/>
          <w:szCs w:val="32"/>
          <w:lang w:val="en-US" w:eastAsia="zh-CN"/>
        </w:rPr>
      </w:pPr>
      <w:r>
        <w:rPr>
          <w:rFonts w:hint="eastAsia" w:ascii="仿宋_GB2312" w:hAnsi="仿宋_GB2312" w:eastAsia="仿宋_GB2312" w:cs="仿宋_GB2312"/>
          <w:spacing w:val="0"/>
          <w:sz w:val="32"/>
          <w:szCs w:val="32"/>
          <w:lang w:val="en-US" w:eastAsia="zh-CN"/>
        </w:rPr>
        <w:t xml:space="preserve">                 </w:t>
      </w:r>
    </w:p>
    <w:p>
      <w:pPr>
        <w:widowControl w:val="0"/>
        <w:adjustRightInd/>
        <w:snapToGrid/>
        <w:spacing w:line="580" w:lineRule="exact"/>
        <w:ind w:left="0" w:leftChars="0" w:right="0"/>
        <w:textAlignment w:val="auto"/>
        <w:outlineLvl w:val="9"/>
        <w:rPr>
          <w:rFonts w:hint="eastAsia"/>
          <w:lang w:val="en-US" w:eastAsia="zh-CN"/>
        </w:rPr>
      </w:pPr>
    </w:p>
    <w:p>
      <w:pPr>
        <w:widowControl w:val="0"/>
        <w:wordWrap/>
        <w:adjustRightInd/>
        <w:snapToGrid/>
        <w:spacing w:line="580" w:lineRule="exact"/>
        <w:ind w:left="0" w:leftChars="0" w:right="0" w:firstLine="640" w:firstLineChars="200"/>
        <w:jc w:val="both"/>
        <w:textAlignment w:val="auto"/>
        <w:outlineLvl w:val="9"/>
        <w:rPr>
          <w:rFonts w:hint="default" w:ascii="仿宋_GB2312" w:hAnsi="仿宋_GB2312" w:eastAsia="仿宋_GB2312" w:cs="仿宋_GB2312"/>
          <w:spacing w:val="0"/>
          <w:sz w:val="32"/>
          <w:szCs w:val="32"/>
          <w:lang w:val="en-US" w:eastAsia="zh-CN"/>
        </w:rPr>
      </w:pPr>
      <w:r>
        <w:rPr>
          <w:rFonts w:hint="eastAsia" w:ascii="仿宋_GB2312" w:hAnsi="仿宋_GB2312" w:eastAsia="仿宋_GB2312" w:cs="仿宋_GB2312"/>
          <w:spacing w:val="0"/>
          <w:sz w:val="32"/>
          <w:szCs w:val="32"/>
          <w:lang w:val="en-US" w:eastAsia="zh-CN"/>
        </w:rPr>
        <w:t xml:space="preserve">              中共红旗渠经济技术开发区工作委员会  </w:t>
      </w:r>
    </w:p>
    <w:p>
      <w:pPr>
        <w:widowControl w:val="0"/>
        <w:wordWrap w:val="0"/>
        <w:adjustRightInd/>
        <w:snapToGrid/>
        <w:spacing w:line="580" w:lineRule="exact"/>
        <w:ind w:left="0" w:leftChars="0" w:right="0"/>
        <w:jc w:val="center"/>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pacing w:val="0"/>
          <w:sz w:val="32"/>
          <w:szCs w:val="32"/>
          <w:lang w:val="en-US" w:eastAsia="zh-CN"/>
        </w:rPr>
        <w:t xml:space="preserve">                       2024年12月3日</w:t>
      </w:r>
    </w:p>
    <w:sectPr>
      <w:footerReference r:id="rId3" w:type="default"/>
      <w:pgSz w:w="11906" w:h="16838"/>
      <w:pgMar w:top="2098" w:right="1474" w:bottom="1984" w:left="1587" w:header="851" w:footer="1247" w:gutter="0"/>
      <w:pgBorders>
        <w:top w:val="none" w:sz="0" w:space="0"/>
        <w:left w:val="none" w:sz="0" w:space="0"/>
        <w:bottom w:val="none" w:sz="0" w:space="0"/>
        <w:right w:val="none" w:sz="0" w:space="0"/>
      </w:pgBorders>
      <w:pgNumType w:fmt="decimal"/>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_GB2312">
    <w:altName w:val="楷体"/>
    <w:panose1 w:val="02010609030101010101"/>
    <w:charset w:val="86"/>
    <w:family w:val="auto"/>
    <w:pitch w:val="default"/>
    <w:sig w:usb0="00000000" w:usb1="0000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rFonts w:ascii="Calibri" w:hAnsi="Calibri" w:eastAsia="宋体" w:cs="黑体"/>
        <w:kern w:val="2"/>
        <w:sz w:val="18"/>
        <w:szCs w:val="24"/>
        <w:lang w:val="en-US" w:eastAsia="zh-CN" w:bidi="ar-SA"/>
      </w:rPr>
      <w:pict>
        <v:rect id="文本框 1" o:spid="_x0000_s4097" o:spt="1" style="position:absolute;left:0pt;margin-top:0pt;height:144pt;width:144pt;mso-position-horizontal:outside;mso-position-horizontal-relative:margin;mso-wrap-style:none;z-index:25165926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6"/>
                  <w:rPr>
                    <w:rFonts w:hint="default" w:ascii="Times New Roman" w:hAnsi="Times New Roman" w:eastAsia="仿宋_GB2312" w:cs="Times New Roman"/>
                    <w:sz w:val="28"/>
                    <w:szCs w:val="28"/>
                    <w:lang w:eastAsia="zh-CN"/>
                  </w:rPr>
                </w:pPr>
                <w:r>
                  <w:rPr>
                    <w:rFonts w:hint="default" w:ascii="Times New Roman" w:hAnsi="Times New Roman" w:eastAsia="仿宋_GB2312" w:cs="Times New Roman"/>
                    <w:sz w:val="32"/>
                    <w:szCs w:val="32"/>
                    <w:lang w:eastAsia="zh-CN"/>
                  </w:rPr>
                  <w:t xml:space="preserve">— </w:t>
                </w:r>
                <w:r>
                  <w:rPr>
                    <w:rFonts w:hint="default" w:ascii="Times New Roman" w:hAnsi="Times New Roman" w:eastAsia="仿宋_GB2312" w:cs="Times New Roman"/>
                    <w:sz w:val="32"/>
                    <w:szCs w:val="32"/>
                    <w:lang w:eastAsia="zh-CN"/>
                  </w:rPr>
                  <w:fldChar w:fldCharType="begin"/>
                </w:r>
                <w:r>
                  <w:rPr>
                    <w:rFonts w:hint="default" w:ascii="Times New Roman" w:hAnsi="Times New Roman" w:eastAsia="仿宋_GB2312" w:cs="Times New Roman"/>
                    <w:sz w:val="32"/>
                    <w:szCs w:val="32"/>
                    <w:lang w:eastAsia="zh-CN"/>
                  </w:rPr>
                  <w:instrText xml:space="preserve"> PAGE  \* MERGEFORMAT </w:instrText>
                </w:r>
                <w:r>
                  <w:rPr>
                    <w:rFonts w:hint="default" w:ascii="Times New Roman" w:hAnsi="Times New Roman" w:eastAsia="仿宋_GB2312" w:cs="Times New Roman"/>
                    <w:sz w:val="32"/>
                    <w:szCs w:val="32"/>
                    <w:lang w:eastAsia="zh-CN"/>
                  </w:rPr>
                  <w:fldChar w:fldCharType="separate"/>
                </w:r>
                <w:r>
                  <w:rPr>
                    <w:rFonts w:hint="default" w:ascii="Times New Roman" w:hAnsi="Times New Roman" w:eastAsia="仿宋_GB2312" w:cs="Times New Roman"/>
                    <w:sz w:val="32"/>
                    <w:szCs w:val="32"/>
                    <w:lang w:eastAsia="zh-CN"/>
                  </w:rPr>
                  <w:t>- 1 -</w:t>
                </w:r>
                <w:r>
                  <w:rPr>
                    <w:rFonts w:hint="default" w:ascii="Times New Roman" w:hAnsi="Times New Roman" w:eastAsia="仿宋_GB2312" w:cs="Times New Roman"/>
                    <w:sz w:val="32"/>
                    <w:szCs w:val="32"/>
                    <w:lang w:eastAsia="zh-CN"/>
                  </w:rPr>
                  <w:fldChar w:fldCharType="end"/>
                </w:r>
                <w:r>
                  <w:rPr>
                    <w:rFonts w:hint="default" w:ascii="Times New Roman" w:hAnsi="Times New Roman" w:eastAsia="仿宋_GB2312" w:cs="Times New Roman"/>
                    <w:sz w:val="32"/>
                    <w:szCs w:val="32"/>
                    <w:lang w:eastAsia="zh-CN"/>
                  </w:rPr>
                  <w:t xml:space="preserve"> —</w:t>
                </w:r>
              </w:p>
            </w:txbxContent>
          </v:textbox>
        </v:rect>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
  <w:docVars>
    <w:docVar w:name="commondata" w:val="eyJoZGlkIjoiMWI1YjJiZWE0Yzg4NTBhNTdmOTQ5YTUxYWExN2U5NWQifQ=="/>
  </w:docVars>
  <w:rsids>
    <w:rsidRoot w:val="2CCA55EF"/>
    <w:rsid w:val="01825630"/>
    <w:rsid w:val="019F5615"/>
    <w:rsid w:val="033414BB"/>
    <w:rsid w:val="039507BD"/>
    <w:rsid w:val="04891DC4"/>
    <w:rsid w:val="051F632A"/>
    <w:rsid w:val="056E5276"/>
    <w:rsid w:val="05D00F30"/>
    <w:rsid w:val="05E20A8A"/>
    <w:rsid w:val="06732DD2"/>
    <w:rsid w:val="06756988"/>
    <w:rsid w:val="06846D8D"/>
    <w:rsid w:val="07F13FAE"/>
    <w:rsid w:val="08564759"/>
    <w:rsid w:val="091055A0"/>
    <w:rsid w:val="0A3B69DE"/>
    <w:rsid w:val="0B21104E"/>
    <w:rsid w:val="0B5C5BE2"/>
    <w:rsid w:val="0C6B6D1D"/>
    <w:rsid w:val="0CEF2A86"/>
    <w:rsid w:val="0EC817E1"/>
    <w:rsid w:val="105B0B5E"/>
    <w:rsid w:val="11551A52"/>
    <w:rsid w:val="117B2B3A"/>
    <w:rsid w:val="12767ED2"/>
    <w:rsid w:val="12C64289"/>
    <w:rsid w:val="12ED3D0E"/>
    <w:rsid w:val="153A1DF0"/>
    <w:rsid w:val="15725304"/>
    <w:rsid w:val="15763D45"/>
    <w:rsid w:val="174931DD"/>
    <w:rsid w:val="17714B81"/>
    <w:rsid w:val="182E5751"/>
    <w:rsid w:val="188038D7"/>
    <w:rsid w:val="1A5A3BEB"/>
    <w:rsid w:val="1A807132"/>
    <w:rsid w:val="1A94227B"/>
    <w:rsid w:val="1B4D5548"/>
    <w:rsid w:val="1D0B56BA"/>
    <w:rsid w:val="1DE96E67"/>
    <w:rsid w:val="1E5A69A1"/>
    <w:rsid w:val="1EBF02F2"/>
    <w:rsid w:val="1F8E13EE"/>
    <w:rsid w:val="1F985BC8"/>
    <w:rsid w:val="214A632A"/>
    <w:rsid w:val="21560BCD"/>
    <w:rsid w:val="219E0913"/>
    <w:rsid w:val="21B84ED0"/>
    <w:rsid w:val="239F4588"/>
    <w:rsid w:val="245C16BD"/>
    <w:rsid w:val="2494727D"/>
    <w:rsid w:val="24D95B7F"/>
    <w:rsid w:val="25B4420A"/>
    <w:rsid w:val="26A80AF7"/>
    <w:rsid w:val="26BD5C77"/>
    <w:rsid w:val="271406B4"/>
    <w:rsid w:val="2AC12F26"/>
    <w:rsid w:val="2B8A6344"/>
    <w:rsid w:val="2C5016CC"/>
    <w:rsid w:val="2CCA55EF"/>
    <w:rsid w:val="2E32735A"/>
    <w:rsid w:val="2F2508D7"/>
    <w:rsid w:val="2F963509"/>
    <w:rsid w:val="305331A8"/>
    <w:rsid w:val="31202170"/>
    <w:rsid w:val="314D7BF8"/>
    <w:rsid w:val="31AF440F"/>
    <w:rsid w:val="32075FF9"/>
    <w:rsid w:val="32717916"/>
    <w:rsid w:val="335F60A8"/>
    <w:rsid w:val="33E02727"/>
    <w:rsid w:val="340A6274"/>
    <w:rsid w:val="34790D04"/>
    <w:rsid w:val="35243365"/>
    <w:rsid w:val="3542559A"/>
    <w:rsid w:val="37194233"/>
    <w:rsid w:val="38225026"/>
    <w:rsid w:val="38305B7D"/>
    <w:rsid w:val="3894013A"/>
    <w:rsid w:val="3A1525B8"/>
    <w:rsid w:val="3A3E27D3"/>
    <w:rsid w:val="3BE31F0D"/>
    <w:rsid w:val="3C6B44FB"/>
    <w:rsid w:val="3D1D21D2"/>
    <w:rsid w:val="3D7C05E9"/>
    <w:rsid w:val="3E5C18DF"/>
    <w:rsid w:val="4207681C"/>
    <w:rsid w:val="429A6E4D"/>
    <w:rsid w:val="42A67168"/>
    <w:rsid w:val="42AB6E74"/>
    <w:rsid w:val="436B215F"/>
    <w:rsid w:val="443B71A3"/>
    <w:rsid w:val="44B10046"/>
    <w:rsid w:val="456F5F37"/>
    <w:rsid w:val="46FC7C9E"/>
    <w:rsid w:val="471548BC"/>
    <w:rsid w:val="47882067"/>
    <w:rsid w:val="482B75CD"/>
    <w:rsid w:val="48F16A60"/>
    <w:rsid w:val="49240627"/>
    <w:rsid w:val="49BF4FB3"/>
    <w:rsid w:val="4A835FE1"/>
    <w:rsid w:val="4AF84C20"/>
    <w:rsid w:val="4B4C1478"/>
    <w:rsid w:val="4BA43467"/>
    <w:rsid w:val="4CE803B3"/>
    <w:rsid w:val="4E3426BF"/>
    <w:rsid w:val="4EC61AEC"/>
    <w:rsid w:val="4ECF64A6"/>
    <w:rsid w:val="4FEB32DB"/>
    <w:rsid w:val="5051105B"/>
    <w:rsid w:val="523C5754"/>
    <w:rsid w:val="526D37FE"/>
    <w:rsid w:val="53F32429"/>
    <w:rsid w:val="54F51836"/>
    <w:rsid w:val="563F54B2"/>
    <w:rsid w:val="56DC0F52"/>
    <w:rsid w:val="58947738"/>
    <w:rsid w:val="5BD963A8"/>
    <w:rsid w:val="5CBB1164"/>
    <w:rsid w:val="5DA54794"/>
    <w:rsid w:val="5E1C66BC"/>
    <w:rsid w:val="5ECD0691"/>
    <w:rsid w:val="5F6D7533"/>
    <w:rsid w:val="5F945F24"/>
    <w:rsid w:val="61017B36"/>
    <w:rsid w:val="62D022B3"/>
    <w:rsid w:val="63534C92"/>
    <w:rsid w:val="637F5654"/>
    <w:rsid w:val="63D77671"/>
    <w:rsid w:val="6418547E"/>
    <w:rsid w:val="6472163D"/>
    <w:rsid w:val="649D011F"/>
    <w:rsid w:val="650E149E"/>
    <w:rsid w:val="659D13B9"/>
    <w:rsid w:val="66983B49"/>
    <w:rsid w:val="68307350"/>
    <w:rsid w:val="68630BDB"/>
    <w:rsid w:val="6A050368"/>
    <w:rsid w:val="6A83758C"/>
    <w:rsid w:val="6B276EC1"/>
    <w:rsid w:val="6B8934C3"/>
    <w:rsid w:val="6BF6440D"/>
    <w:rsid w:val="6C3C5623"/>
    <w:rsid w:val="6D8F2D6B"/>
    <w:rsid w:val="6E40284A"/>
    <w:rsid w:val="6E40617D"/>
    <w:rsid w:val="6FD809F9"/>
    <w:rsid w:val="6FF15617"/>
    <w:rsid w:val="70910F61"/>
    <w:rsid w:val="70C920F0"/>
    <w:rsid w:val="711C66C3"/>
    <w:rsid w:val="7128150C"/>
    <w:rsid w:val="72E6749D"/>
    <w:rsid w:val="73D74B24"/>
    <w:rsid w:val="758B3A84"/>
    <w:rsid w:val="77712861"/>
    <w:rsid w:val="77BF6901"/>
    <w:rsid w:val="797C0647"/>
    <w:rsid w:val="7AC322A6"/>
    <w:rsid w:val="7BEC3136"/>
    <w:rsid w:val="7E223E4B"/>
    <w:rsid w:val="7E851978"/>
    <w:rsid w:val="7F475541"/>
    <w:rsid w:val="7F930498"/>
    <w:rsid w:val="7FBC6D04"/>
    <w:rsid w:val="7FD95E9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Calibri" w:hAnsi="Calibri" w:eastAsia="宋体" w:cs="黑体"/>
      <w:kern w:val="2"/>
      <w:sz w:val="21"/>
      <w:szCs w:val="24"/>
      <w:lang w:val="en-US" w:eastAsia="zh-CN" w:bidi="ar-SA"/>
    </w:rPr>
  </w:style>
  <w:style w:type="paragraph" w:styleId="4">
    <w:name w:val="heading 1"/>
    <w:basedOn w:val="1"/>
    <w:next w:val="1"/>
    <w:autoRedefine/>
    <w:qFormat/>
    <w:uiPriority w:val="0"/>
    <w:pPr>
      <w:spacing w:before="100" w:beforeAutospacing="1" w:after="100" w:afterAutospacing="1"/>
      <w:jc w:val="left"/>
    </w:pPr>
    <w:rPr>
      <w:rFonts w:hint="eastAsia" w:ascii="宋体" w:hAnsi="宋体" w:eastAsia="宋体" w:cs="宋体"/>
      <w:b/>
      <w:kern w:val="44"/>
      <w:sz w:val="48"/>
      <w:szCs w:val="48"/>
      <w:lang w:val="en-US" w:eastAsia="zh-CN"/>
    </w:rPr>
  </w:style>
  <w:style w:type="character" w:default="1" w:styleId="12">
    <w:name w:val="Default Paragraph Font"/>
    <w:autoRedefine/>
    <w:semiHidden/>
    <w:qFormat/>
    <w:uiPriority w:val="0"/>
  </w:style>
  <w:style w:type="table" w:default="1" w:styleId="11">
    <w:name w:val="Normal Table"/>
    <w:autoRedefine/>
    <w:semiHidden/>
    <w:qFormat/>
    <w:uiPriority w:val="0"/>
    <w:tblPr>
      <w:tblCellMar>
        <w:top w:w="0" w:type="dxa"/>
        <w:left w:w="108" w:type="dxa"/>
        <w:bottom w:w="0" w:type="dxa"/>
        <w:right w:w="108" w:type="dxa"/>
      </w:tblCellMar>
    </w:tblPr>
  </w:style>
  <w:style w:type="paragraph" w:customStyle="1" w:styleId="2">
    <w:name w:val="Body Text First Indent1"/>
    <w:basedOn w:val="3"/>
    <w:next w:val="1"/>
    <w:autoRedefine/>
    <w:qFormat/>
    <w:uiPriority w:val="99"/>
    <w:pPr>
      <w:ind w:firstLine="100" w:firstLineChars="100"/>
    </w:pPr>
    <w:rPr>
      <w:rFonts w:ascii="Times New Roman" w:hAnsi="Times New Roman"/>
    </w:rPr>
  </w:style>
  <w:style w:type="paragraph" w:styleId="3">
    <w:name w:val="Body Text"/>
    <w:basedOn w:val="1"/>
    <w:next w:val="1"/>
    <w:autoRedefine/>
    <w:qFormat/>
    <w:uiPriority w:val="0"/>
    <w:pPr>
      <w:spacing w:after="120"/>
    </w:pPr>
  </w:style>
  <w:style w:type="paragraph" w:styleId="5">
    <w:name w:val="Body Text Indent"/>
    <w:basedOn w:val="1"/>
    <w:autoRedefine/>
    <w:qFormat/>
    <w:uiPriority w:val="0"/>
    <w:pPr>
      <w:ind w:firstLine="560"/>
    </w:pPr>
    <w:rPr>
      <w:rFonts w:hint="eastAsia" w:ascii="楷体_GB2312" w:eastAsia="楷体_GB2312"/>
      <w:sz w:val="32"/>
    </w:rPr>
  </w:style>
  <w:style w:type="paragraph" w:styleId="6">
    <w:name w:val="footer"/>
    <w:basedOn w:val="1"/>
    <w:autoRedefine/>
    <w:qFormat/>
    <w:uiPriority w:val="0"/>
    <w:pPr>
      <w:tabs>
        <w:tab w:val="center" w:pos="4153"/>
        <w:tab w:val="right" w:pos="8306"/>
      </w:tabs>
      <w:snapToGrid w:val="0"/>
      <w:jc w:val="left"/>
    </w:pPr>
    <w:rPr>
      <w:sz w:val="18"/>
    </w:rPr>
  </w:style>
  <w:style w:type="paragraph" w:styleId="7">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Body Text 2"/>
    <w:basedOn w:val="1"/>
    <w:next w:val="3"/>
    <w:autoRedefine/>
    <w:qFormat/>
    <w:uiPriority w:val="0"/>
    <w:pPr>
      <w:spacing w:after="120" w:line="480" w:lineRule="auto"/>
    </w:pPr>
    <w:rPr>
      <w:rFonts w:ascii="Times New Roman" w:hAnsi="Times New Roman"/>
    </w:rPr>
  </w:style>
  <w:style w:type="paragraph" w:styleId="9">
    <w:name w:val="Normal (Web)"/>
    <w:basedOn w:val="1"/>
    <w:qFormat/>
    <w:uiPriority w:val="0"/>
    <w:pPr>
      <w:spacing w:before="0" w:beforeAutospacing="1" w:after="0" w:afterAutospacing="1"/>
      <w:ind w:left="0" w:right="0"/>
      <w:jc w:val="left"/>
    </w:pPr>
    <w:rPr>
      <w:kern w:val="0"/>
      <w:sz w:val="24"/>
      <w:lang w:val="en-US" w:eastAsia="zh-CN"/>
    </w:rPr>
  </w:style>
  <w:style w:type="paragraph" w:styleId="10">
    <w:name w:val="Body Text First Indent 2"/>
    <w:basedOn w:val="5"/>
    <w:qFormat/>
    <w:uiPriority w:val="0"/>
    <w:pPr>
      <w:ind w:firstLine="420" w:firstLineChars="200"/>
    </w:pPr>
    <w:rPr>
      <w:rFonts w:ascii="Calibri" w:eastAsia="宋体"/>
      <w:sz w:val="24"/>
    </w:rPr>
  </w:style>
  <w:style w:type="character" w:styleId="13">
    <w:name w:val="FollowedHyperlink"/>
    <w:basedOn w:val="12"/>
    <w:qFormat/>
    <w:uiPriority w:val="0"/>
    <w:rPr>
      <w:color w:val="000000"/>
      <w:u w:val="none"/>
    </w:rPr>
  </w:style>
  <w:style w:type="character" w:styleId="14">
    <w:name w:val="Emphasis"/>
    <w:basedOn w:val="12"/>
    <w:autoRedefine/>
    <w:qFormat/>
    <w:uiPriority w:val="0"/>
  </w:style>
  <w:style w:type="character" w:styleId="15">
    <w:name w:val="Hyperlink"/>
    <w:basedOn w:val="12"/>
    <w:qFormat/>
    <w:uiPriority w:val="0"/>
    <w:rPr>
      <w:color w:val="000000"/>
      <w:u w:val="none"/>
    </w:rPr>
  </w:style>
  <w:style w:type="paragraph" w:customStyle="1" w:styleId="16">
    <w:name w:val="UserStyle_0"/>
    <w:qFormat/>
    <w:uiPriority w:val="0"/>
    <w:rPr>
      <w:rFonts w:ascii="Times New Roman" w:hAnsi="Times New Roman" w:eastAsia="宋体" w:cs="Times New Roman"/>
      <w:color w:val="000000"/>
      <w:sz w:val="24"/>
      <w:szCs w:val="24"/>
      <w:lang w:val="en-US" w:eastAsia="zh-CN" w:bidi="ar-SA"/>
    </w:rPr>
  </w:style>
  <w:style w:type="paragraph" w:customStyle="1" w:styleId="17">
    <w:name w:val="正文 New"/>
    <w:autoRedefine/>
    <w:qFormat/>
    <w:uiPriority w:val="0"/>
    <w:pPr>
      <w:widowControl w:val="0"/>
      <w:jc w:val="both"/>
    </w:pPr>
    <w:rPr>
      <w:rFonts w:ascii="Calibri" w:hAnsi="Calibri" w:eastAsia="宋体" w:cs="黑体"/>
      <w:kern w:val="2"/>
      <w:sz w:val="21"/>
      <w:szCs w:val="22"/>
      <w:lang w:val="en-US" w:eastAsia="zh-CN" w:bidi="ar-SA"/>
    </w:rPr>
  </w:style>
  <w:style w:type="character" w:customStyle="1" w:styleId="18">
    <w:name w:val="one"/>
    <w:basedOn w:val="12"/>
    <w:qFormat/>
    <w:uiPriority w:val="0"/>
    <w:rPr>
      <w:color w:val="003366"/>
    </w:rPr>
  </w:style>
  <w:style w:type="character" w:customStyle="1" w:styleId="19">
    <w:name w:val="icon_video"/>
    <w:basedOn w:val="12"/>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5202</Words>
  <Characters>5253</Characters>
  <Lines>0</Lines>
  <Paragraphs>0</Paragraphs>
  <TotalTime>10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2020-11-11T01:46:00Z</dcterms:created>
  <dc:creator>Administrator</dc:creator>
  <cp:lastModifiedBy>Administrator</cp:lastModifiedBy>
  <cp:lastPrinted>2024-12-03T01:07:00Z</cp:lastPrinted>
  <dcterms:modified xsi:type="dcterms:W3CDTF">2025-02-20T03:18:25Z</dcterms:modified>
  <dc:title>中共红旗渠经济技术开发区工作委员会</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883C7B885016493299614BF3BCFEB1FC_13</vt:lpwstr>
  </property>
</Properties>
</file>